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98" w:rsidRDefault="00D56198" w:rsidP="00D56198">
      <w:pPr>
        <w:shd w:val="clear" w:color="auto" w:fill="FFFFFF"/>
        <w:spacing w:line="209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A82B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  <w:t xml:space="preserve">УДК </w:t>
      </w:r>
      <w:r w:rsidRPr="00A82B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026:001]:004.056(4)</w:t>
      </w:r>
    </w:p>
    <w:p w:rsidR="00A82BE0" w:rsidRPr="00A82BE0" w:rsidRDefault="00A82BE0" w:rsidP="00D56198">
      <w:pPr>
        <w:shd w:val="clear" w:color="auto" w:fill="FFFFFF"/>
        <w:spacing w:line="209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</w:p>
    <w:p w:rsidR="00A82BE0" w:rsidRPr="00173B73" w:rsidRDefault="00A82BE0" w:rsidP="00A82BE0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3B73">
        <w:rPr>
          <w:rFonts w:ascii="Times New Roman" w:hAnsi="Times New Roman" w:cs="Times New Roman"/>
          <w:b/>
          <w:sz w:val="24"/>
          <w:szCs w:val="24"/>
          <w:lang w:val="uk-UA"/>
        </w:rPr>
        <w:t>Опришко Тетяна Сергіївна</w:t>
      </w:r>
    </w:p>
    <w:p w:rsidR="00A82BE0" w:rsidRPr="00173B73" w:rsidRDefault="00A82BE0" w:rsidP="00A82BE0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B73">
        <w:rPr>
          <w:rFonts w:ascii="Times New Roman" w:hAnsi="Times New Roman" w:cs="Times New Roman"/>
          <w:sz w:val="24"/>
          <w:szCs w:val="24"/>
          <w:lang w:val="uk-UA"/>
        </w:rPr>
        <w:t>директор бібліотеки</w:t>
      </w:r>
    </w:p>
    <w:p w:rsidR="00A82BE0" w:rsidRPr="00173B73" w:rsidRDefault="00A82BE0" w:rsidP="00A82BE0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B73">
        <w:rPr>
          <w:rFonts w:ascii="Times New Roman" w:hAnsi="Times New Roman" w:cs="Times New Roman"/>
          <w:sz w:val="24"/>
          <w:szCs w:val="24"/>
          <w:lang w:val="uk-UA"/>
        </w:rPr>
        <w:t>Київський університет імені Бориса Грінченка, Київ, Україна</w:t>
      </w:r>
    </w:p>
    <w:p w:rsidR="00A82BE0" w:rsidRPr="00173B73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</w:pPr>
      <w:r w:rsidRPr="00173B7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ORCID ID  </w:t>
      </w:r>
      <w:hyperlink r:id="rId9" w:history="1">
        <w:r w:rsidRPr="006E5175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0000-0002-9282-0182</w:t>
        </w:r>
      </w:hyperlink>
      <w:r w:rsidRPr="00173B73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  <w:t xml:space="preserve"> </w:t>
      </w:r>
      <w:r w:rsidRPr="00173B73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  <w:tab/>
      </w:r>
    </w:p>
    <w:p w:rsidR="00A82BE0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Pr="00173B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t.opryshko@kubg.edu.ua</w:t>
        </w:r>
      </w:hyperlink>
      <w:r w:rsidRPr="00173B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2BE0" w:rsidRPr="00173B73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3B73">
        <w:rPr>
          <w:rFonts w:ascii="Times New Roman" w:hAnsi="Times New Roman" w:cs="Times New Roman"/>
          <w:b/>
          <w:sz w:val="24"/>
          <w:szCs w:val="24"/>
          <w:lang w:val="en-US"/>
        </w:rPr>
        <w:t>Opryshko</w:t>
      </w:r>
      <w:proofErr w:type="spellEnd"/>
      <w:r w:rsidRPr="00173B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3B73">
        <w:rPr>
          <w:rFonts w:ascii="Times New Roman" w:hAnsi="Times New Roman" w:cs="Times New Roman"/>
          <w:b/>
          <w:sz w:val="24"/>
          <w:szCs w:val="24"/>
          <w:lang w:val="en-US"/>
        </w:rPr>
        <w:t>Tetiana</w:t>
      </w:r>
      <w:proofErr w:type="spellEnd"/>
    </w:p>
    <w:p w:rsidR="00A82BE0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 of the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ibrary </w:t>
      </w:r>
    </w:p>
    <w:p w:rsidR="00A82BE0" w:rsidRDefault="00A82BE0" w:rsidP="00A82BE0">
      <w:pPr>
        <w:tabs>
          <w:tab w:val="left" w:pos="35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Grinchenko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Kyiv University, </w:t>
      </w:r>
      <w:r w:rsidRPr="00173B7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Kyiv, Ukraine</w:t>
      </w:r>
    </w:p>
    <w:p w:rsidR="00A82BE0" w:rsidRPr="00173B73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</w:pPr>
      <w:r w:rsidRPr="00173B7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ORCID ID  </w:t>
      </w:r>
      <w:hyperlink r:id="rId11" w:history="1">
        <w:r w:rsidRPr="00173B7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0000-0002-9282-0182</w:t>
        </w:r>
      </w:hyperlink>
      <w:r w:rsidRPr="00173B73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  <w:t xml:space="preserve"> </w:t>
      </w:r>
      <w:r w:rsidRPr="00173B73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  <w:lang w:val="uk-UA"/>
        </w:rPr>
        <w:tab/>
      </w:r>
    </w:p>
    <w:p w:rsidR="00A82BE0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Pr="00173B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t.opryshko@kubg.edu.ua</w:t>
        </w:r>
      </w:hyperlink>
      <w:r w:rsidRPr="00173B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2BE0" w:rsidRPr="00173B73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2BE0" w:rsidRPr="00173B73" w:rsidRDefault="00A82BE0" w:rsidP="00A82BE0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proofErr w:type="spellStart"/>
      <w:r w:rsidRPr="00BF4D0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Складанний</w:t>
      </w:r>
      <w:proofErr w:type="spellEnd"/>
      <w:r w:rsidRPr="00BF4D0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Павло Миколайович</w:t>
      </w:r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BF4D0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старший викладач кафедри інформаційної та кібернетичної безпеки</w:t>
      </w:r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BF4D0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Київський університет імені Бориса Грінченка, Київ, Україна </w:t>
      </w:r>
    </w:p>
    <w:p w:rsidR="005E1F23" w:rsidRPr="005E1F23" w:rsidRDefault="00A82BE0" w:rsidP="005E1F2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1F2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ORCID ID </w:t>
      </w:r>
      <w:hyperlink r:id="rId13" w:history="1">
        <w:r w:rsidR="005E1F23" w:rsidRPr="005E1F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0000-0002-7775-6039</w:t>
        </w:r>
      </w:hyperlink>
      <w:r w:rsidR="005E1F23" w:rsidRPr="005E1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1F23" w:rsidRPr="00E33825" w:rsidRDefault="005E1F23" w:rsidP="005E1F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hyperlink r:id="rId14" w:history="1">
        <w:r w:rsidRPr="000469D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p.skladannyi@kubg.edu.ua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proofErr w:type="spellStart"/>
      <w:r w:rsidRPr="00BF4D0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Skladannyi</w:t>
      </w:r>
      <w:proofErr w:type="spellEnd"/>
      <w:r w:rsidRPr="00A82BE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Pavlo</w:t>
      </w:r>
      <w:proofErr w:type="spellEnd"/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Senior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Lecturer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of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BF4D0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the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Department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of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Information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and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cyber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security</w:t>
      </w:r>
      <w:proofErr w:type="spellEnd"/>
    </w:p>
    <w:p w:rsidR="00A82BE0" w:rsidRPr="00BF4D02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hyperlink r:id="rId15" w:history="1">
        <w:proofErr w:type="spellStart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Borys</w:t>
        </w:r>
        <w:proofErr w:type="spellEnd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 xml:space="preserve"> </w:t>
        </w:r>
        <w:proofErr w:type="spellStart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Grinchenko</w:t>
        </w:r>
        <w:proofErr w:type="spellEnd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 xml:space="preserve"> </w:t>
        </w:r>
        <w:proofErr w:type="spellStart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Kyiv</w:t>
        </w:r>
        <w:proofErr w:type="spellEnd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 xml:space="preserve"> </w:t>
        </w:r>
        <w:proofErr w:type="spellStart"/>
        <w:r w:rsidRPr="00BF4D02">
          <w:rPr>
            <w:rFonts w:ascii="Times New Roman" w:eastAsia="Times New Roman" w:hAnsi="Times New Roman" w:cs="Times New Roman"/>
            <w:sz w:val="24"/>
            <w:szCs w:val="24"/>
            <w:lang w:val="uk-UA" w:eastAsia="ar-SA"/>
          </w:rPr>
          <w:t>University</w:t>
        </w:r>
        <w:proofErr w:type="spellEnd"/>
      </w:hyperlink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Kyiv</w:t>
      </w:r>
      <w:proofErr w:type="spellEnd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Ukraine</w:t>
      </w:r>
      <w:proofErr w:type="spellEnd"/>
    </w:p>
    <w:p w:rsidR="00A82BE0" w:rsidRDefault="00A82BE0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BF4D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ORCID ID 0000-0002-7775-6039</w:t>
      </w:r>
    </w:p>
    <w:p w:rsidR="00E33825" w:rsidRPr="00E33825" w:rsidRDefault="00E33825" w:rsidP="00A8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hyperlink r:id="rId16" w:history="1">
        <w:r w:rsidRPr="000469D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p.skladannyi@kubg.edu.ua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:rsidR="00A82BE0" w:rsidRDefault="00A82BE0" w:rsidP="00D56198">
      <w:pPr>
        <w:shd w:val="clear" w:color="auto" w:fill="FFFFFF"/>
        <w:spacing w:line="209" w:lineRule="atLeast"/>
        <w:rPr>
          <w:lang w:val="en-US"/>
        </w:rPr>
      </w:pPr>
    </w:p>
    <w:p w:rsidR="00E33825" w:rsidRPr="00E33825" w:rsidRDefault="00E33825" w:rsidP="00D56198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:rsidR="00310094" w:rsidRPr="00E27D0A" w:rsidRDefault="00CD2235" w:rsidP="00174D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 w:rsidR="00310094" w:rsidRPr="00E27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європейського досвіду </w:t>
      </w:r>
      <w:proofErr w:type="spellStart"/>
      <w:r w:rsidR="00310094" w:rsidRPr="00E27D0A">
        <w:rPr>
          <w:rFonts w:ascii="Times New Roman" w:hAnsi="Times New Roman" w:cs="Times New Roman"/>
          <w:b/>
          <w:sz w:val="28"/>
          <w:szCs w:val="28"/>
          <w:lang w:val="uk-UA"/>
        </w:rPr>
        <w:t>бібліотечно</w:t>
      </w:r>
      <w:proofErr w:type="spellEnd"/>
      <w:r w:rsidR="00310094" w:rsidRPr="00E27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-інформаційного обслуговування та </w:t>
      </w:r>
      <w:proofErr w:type="spellStart"/>
      <w:r w:rsidR="00310094" w:rsidRPr="00E27D0A">
        <w:rPr>
          <w:rFonts w:ascii="Times New Roman" w:hAnsi="Times New Roman" w:cs="Times New Roman"/>
          <w:b/>
          <w:sz w:val="28"/>
          <w:szCs w:val="28"/>
          <w:lang w:val="uk-UA"/>
        </w:rPr>
        <w:t>кібербезпеки</w:t>
      </w:r>
      <w:proofErr w:type="spellEnd"/>
      <w:r w:rsidR="00310094" w:rsidRPr="00E27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користувачів наукових бібліотек</w:t>
      </w:r>
    </w:p>
    <w:p w:rsidR="00310094" w:rsidRDefault="002E693F" w:rsidP="00174D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Анотація. </w:t>
      </w:r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>В дані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 роботі проаналізовані підходи щодо удосконалення </w:t>
      </w:r>
      <w:proofErr w:type="spellStart"/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-інформаційного обслуговування користувачів. Окреслено коло проблем щодо інтернаціоналізації та застосування досвіду провідних країн світу у частині використання стандарту </w:t>
      </w:r>
      <w:r w:rsidR="00CD2235" w:rsidRPr="002E693F">
        <w:rPr>
          <w:rFonts w:ascii="Times New Roman" w:hAnsi="Times New Roman" w:cs="Times New Roman"/>
          <w:sz w:val="28"/>
          <w:szCs w:val="28"/>
          <w:lang w:val="en-US"/>
        </w:rPr>
        <w:t>RDA</w:t>
      </w:r>
      <w:r w:rsidR="00CD2235" w:rsidRPr="002E693F">
        <w:rPr>
          <w:rFonts w:ascii="Times New Roman" w:hAnsi="Times New Roman" w:cs="Times New Roman"/>
          <w:sz w:val="28"/>
          <w:szCs w:val="28"/>
        </w:rPr>
        <w:t xml:space="preserve">. </w:t>
      </w:r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>Визначені</w:t>
      </w:r>
      <w:r w:rsidR="00CD2235" w:rsidRPr="002E693F">
        <w:rPr>
          <w:rFonts w:ascii="Times New Roman" w:hAnsi="Times New Roman" w:cs="Times New Roman"/>
          <w:sz w:val="28"/>
          <w:szCs w:val="28"/>
        </w:rPr>
        <w:t xml:space="preserve"> </w:t>
      </w:r>
      <w:r w:rsidR="00CD2235" w:rsidRPr="002E693F">
        <w:rPr>
          <w:rFonts w:ascii="Times New Roman" w:hAnsi="Times New Roman" w:cs="Times New Roman"/>
          <w:sz w:val="28"/>
          <w:szCs w:val="28"/>
          <w:lang w:val="uk-UA"/>
        </w:rPr>
        <w:t>небезпечні фактори та потенційні загрози безпеці бібліотечної інформаційної систем та виокремленні основні підходи для підвищення цілісності, доступності та надійності.</w:t>
      </w:r>
    </w:p>
    <w:p w:rsidR="002E693F" w:rsidRDefault="002E693F" w:rsidP="00174DA0">
      <w:pPr>
        <w:tabs>
          <w:tab w:val="left" w:pos="76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693F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абонемент, ваучерна система </w:t>
      </w:r>
      <w:r w:rsidRPr="002E693F">
        <w:rPr>
          <w:rFonts w:ascii="Times New Roman" w:hAnsi="Times New Roman" w:cs="Times New Roman"/>
          <w:sz w:val="28"/>
          <w:szCs w:val="28"/>
          <w:lang w:val="en-US"/>
        </w:rPr>
        <w:t>IFLA</w:t>
      </w:r>
      <w:r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, інтернаціоналізація академічних бібліотек, е-книги, міжнародні стандарти </w:t>
      </w:r>
      <w:proofErr w:type="spellStart"/>
      <w:r w:rsidRPr="002E693F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каталогізування</w:t>
      </w:r>
      <w:proofErr w:type="spellEnd"/>
      <w:r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693F">
        <w:rPr>
          <w:rFonts w:ascii="Times New Roman" w:hAnsi="Times New Roman" w:cs="Times New Roman"/>
          <w:sz w:val="28"/>
          <w:szCs w:val="28"/>
          <w:lang w:val="en-US"/>
        </w:rPr>
        <w:t>RDA</w:t>
      </w:r>
      <w:r w:rsidRPr="002E69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комп`ютерний вірус, безпека, шифрування, </w:t>
      </w:r>
      <w:proofErr w:type="spellStart"/>
      <w:r w:rsidRPr="002E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аутентифікація</w:t>
      </w:r>
      <w:proofErr w:type="spellEnd"/>
      <w:r w:rsidRPr="002E69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 </w:t>
      </w:r>
    </w:p>
    <w:p w:rsidR="00A82BE0" w:rsidRDefault="00A82BE0" w:rsidP="00174DA0">
      <w:pPr>
        <w:tabs>
          <w:tab w:val="left" w:pos="76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82BE0" w:rsidRPr="00A82BE0" w:rsidRDefault="00A82BE0" w:rsidP="00174DA0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222222"/>
          <w:lang w:val="en-US" w:eastAsia="uk-UA"/>
        </w:rPr>
      </w:pPr>
      <w:r w:rsidRPr="00A82B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Analysis of European Experience in Library Information Services and Cybersecurity of Scientific Library Users</w:t>
      </w:r>
    </w:p>
    <w:p w:rsidR="00A82BE0" w:rsidRDefault="00A82BE0" w:rsidP="00174D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</w:pPr>
      <w:r w:rsidRPr="00A82BE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uk-UA"/>
        </w:rPr>
        <w:br/>
      </w:r>
      <w:r w:rsidRPr="00A82B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Abstract.</w:t>
      </w:r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 This paper analyzes approaches to improving library information services for users. The issues of internationalization and application of the leading countries experience in the</w:t>
      </w:r>
      <w:bookmarkStart w:id="0" w:name="_GoBack"/>
      <w:bookmarkEnd w:id="0"/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use of the RDA standard have been outlined. Hazardous factors and potential threats to the security of library information systems have been identified and key approaches have been identified to </w:t>
      </w:r>
      <w:proofErr w:type="gramStart"/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improve</w:t>
      </w:r>
      <w:r w:rsidR="00E338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</w:t>
      </w:r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 integrity</w:t>
      </w:r>
      <w:proofErr w:type="gramEnd"/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, accessibility and reliability.</w:t>
      </w:r>
    </w:p>
    <w:p w:rsidR="00E33825" w:rsidRPr="00A82BE0" w:rsidRDefault="00E33825" w:rsidP="00174DA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222222"/>
          <w:lang w:val="en-US" w:eastAsia="uk-UA"/>
        </w:rPr>
      </w:pPr>
    </w:p>
    <w:p w:rsidR="00A82BE0" w:rsidRPr="00A82BE0" w:rsidRDefault="00A82BE0" w:rsidP="00174DA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222222"/>
          <w:lang w:val="en-US" w:eastAsia="uk-UA"/>
        </w:rPr>
      </w:pPr>
      <w:r w:rsidRPr="00A82B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uk-UA"/>
        </w:rPr>
        <w:t>Keywords:</w:t>
      </w:r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  </w:t>
      </w:r>
      <w:proofErr w:type="gramStart"/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international subscription, IFLA voucher</w:t>
      </w:r>
      <w:proofErr w:type="gramEnd"/>
      <w:r w:rsidRPr="00A82BE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system, internationalization of academic libraries, e-books, international cataloging standards, RDA, computer virus, security, encryption, authentication.</w:t>
      </w:r>
    </w:p>
    <w:p w:rsidR="00A82BE0" w:rsidRPr="002E693F" w:rsidRDefault="00A82BE0" w:rsidP="002E693F">
      <w:pPr>
        <w:tabs>
          <w:tab w:val="left" w:pos="76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235E" w:rsidRPr="00E27D0A" w:rsidRDefault="00FC4CF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Європейський досвід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-інформаційного обслуговування користувачів бібліотек відрізняється насамперед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сервісністю</w:t>
      </w:r>
      <w:proofErr w:type="spellEnd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та доступністю для віддалених категорій користувачів. </w:t>
      </w:r>
      <w:r w:rsidR="00DE6FF8" w:rsidRPr="00E27D0A">
        <w:rPr>
          <w:rFonts w:ascii="Times New Roman" w:hAnsi="Times New Roman" w:cs="Times New Roman"/>
          <w:sz w:val="28"/>
          <w:szCs w:val="28"/>
          <w:lang w:val="uk-UA"/>
        </w:rPr>
        <w:t>До прикладу, у Словаччині діє міжнародний абонемент на основі ваучерної системи IFLA</w:t>
      </w:r>
      <w:r w:rsidR="00000CEA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, що спрощує оплату замовлення за міжнародним абонементом, використовуючи ваучери замість грошей. Ваучер являє собою пластикову картку багатократного використання, вартість якої відповідає стандартній оплаті одного виконаного замовлення. Бібліотеки – члени Міжнародної асоціації бібліотек IFLA закуповують необхідну кількість ваучерів в штаб-квартирі IFLA. Існує два види ваучерів: повний ваучер за ціною 8 євро, половина ваучера за ціною 4 євро. Бібліотеки – виконавиці замовлень дотримуються стандартної оплати: один ваучер за одну видачу оригіналу або копії об’ємом 15 сторінок. </w:t>
      </w:r>
      <w:r w:rsidR="007071F8" w:rsidRPr="00E27D0A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Бібліотеки – виконавиці приймають ваучери в якості оплати за викона</w:t>
      </w:r>
      <w:r w:rsidR="005B7BC1" w:rsidRPr="00E27D0A">
        <w:rPr>
          <w:rFonts w:ascii="Times New Roman" w:hAnsi="Times New Roman" w:cs="Times New Roman"/>
          <w:sz w:val="28"/>
          <w:szCs w:val="28"/>
          <w:lang w:val="uk-UA"/>
        </w:rPr>
        <w:t>ння замовлення. Бібліотеки, які</w:t>
      </w:r>
      <w:r w:rsidR="007071F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надають більше документів, ніж вони замовляють самі, можуть </w:t>
      </w:r>
      <w:r w:rsidR="005B7BC1" w:rsidRPr="00E27D0A">
        <w:rPr>
          <w:rFonts w:ascii="Times New Roman" w:hAnsi="Times New Roman" w:cs="Times New Roman"/>
          <w:sz w:val="28"/>
          <w:szCs w:val="28"/>
          <w:lang w:val="uk-UA"/>
        </w:rPr>
        <w:t>повернути</w:t>
      </w:r>
      <w:r w:rsidR="00472FC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надлишок ваучерів в штаб-квартирі IFLA. </w:t>
      </w:r>
      <w:r w:rsidR="00254867" w:rsidRPr="00E27D0A">
        <w:rPr>
          <w:rFonts w:ascii="Times New Roman" w:hAnsi="Times New Roman" w:cs="Times New Roman"/>
          <w:sz w:val="28"/>
          <w:szCs w:val="28"/>
          <w:lang w:val="uk-UA"/>
        </w:rPr>
        <w:t>Система дозволяє уникнути фінансових розрахунків під час виконання замовлень за міжнародним абонементом за винятком моментів купівлі та повернення власне ваучерів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825" w:rsidRPr="00E33825">
        <w:rPr>
          <w:rFonts w:ascii="Times New Roman" w:hAnsi="Times New Roman" w:cs="Times New Roman"/>
          <w:sz w:val="28"/>
          <w:szCs w:val="28"/>
        </w:rPr>
        <w:t>[</w:t>
      </w:r>
      <w:r w:rsidR="00E33825">
        <w:rPr>
          <w:rFonts w:ascii="Times New Roman" w:hAnsi="Times New Roman" w:cs="Times New Roman"/>
          <w:sz w:val="28"/>
          <w:szCs w:val="28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</w:rPr>
        <w:instrText xml:space="preserve"> REF _Ref32504549 \r \h </w:instrText>
      </w:r>
      <w:r w:rsidR="00E33825">
        <w:rPr>
          <w:rFonts w:ascii="Times New Roman" w:hAnsi="Times New Roman" w:cs="Times New Roman"/>
          <w:sz w:val="28"/>
          <w:szCs w:val="28"/>
        </w:rPr>
      </w:r>
      <w:r w:rsidR="00E33825">
        <w:rPr>
          <w:rFonts w:ascii="Times New Roman" w:hAnsi="Times New Roman" w:cs="Times New Roman"/>
          <w:sz w:val="28"/>
          <w:szCs w:val="28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</w:rPr>
        <w:t>3</w:t>
      </w:r>
      <w:r w:rsidR="00E33825">
        <w:rPr>
          <w:rFonts w:ascii="Times New Roman" w:hAnsi="Times New Roman" w:cs="Times New Roman"/>
          <w:sz w:val="28"/>
          <w:szCs w:val="28"/>
        </w:rPr>
        <w:fldChar w:fldCharType="end"/>
      </w:r>
      <w:r w:rsidR="00E33825" w:rsidRPr="00E33825">
        <w:rPr>
          <w:rFonts w:ascii="Times New Roman" w:hAnsi="Times New Roman" w:cs="Times New Roman"/>
          <w:sz w:val="28"/>
          <w:szCs w:val="28"/>
        </w:rPr>
        <w:t>]</w:t>
      </w:r>
      <w:r w:rsidR="00254867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053C6" w:rsidRPr="00E27D0A" w:rsidRDefault="0083235E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>З розвитком електронного читання перед бібліотеками постала потреба унормування правил, процедур та технологічних аспектів роботи з е-книгами в бібліотеці. Як поставити на облік (списати) е-книгу та е-читанку, як каталогізувати її, як провести маркетинг і рекламу нової послуги</w:t>
      </w:r>
      <w:r w:rsidR="00DC5DE3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та багато 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="00E33825" w:rsidRPr="00E33825">
        <w:rPr>
          <w:rFonts w:ascii="Times New Roman" w:hAnsi="Times New Roman" w:cs="Times New Roman"/>
          <w:sz w:val="28"/>
          <w:szCs w:val="28"/>
        </w:rPr>
        <w:t xml:space="preserve"> [</w:t>
      </w:r>
      <w:r w:rsidR="00E33825">
        <w:rPr>
          <w:rFonts w:ascii="Times New Roman" w:hAnsi="Times New Roman" w:cs="Times New Roman"/>
          <w:sz w:val="28"/>
          <w:szCs w:val="28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</w:rPr>
        <w:instrText xml:space="preserve"> REF _Ref32504582 \r \h </w:instrText>
      </w:r>
      <w:r w:rsidR="00E33825">
        <w:rPr>
          <w:rFonts w:ascii="Times New Roman" w:hAnsi="Times New Roman" w:cs="Times New Roman"/>
          <w:sz w:val="28"/>
          <w:szCs w:val="28"/>
        </w:rPr>
      </w:r>
      <w:r w:rsidR="00E33825">
        <w:rPr>
          <w:rFonts w:ascii="Times New Roman" w:hAnsi="Times New Roman" w:cs="Times New Roman"/>
          <w:sz w:val="28"/>
          <w:szCs w:val="28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</w:rPr>
        <w:t>6</w:t>
      </w:r>
      <w:r w:rsidR="00E33825">
        <w:rPr>
          <w:rFonts w:ascii="Times New Roman" w:hAnsi="Times New Roman" w:cs="Times New Roman"/>
          <w:sz w:val="28"/>
          <w:szCs w:val="28"/>
        </w:rPr>
        <w:fldChar w:fldCharType="end"/>
      </w:r>
      <w:r w:rsidR="00E33825" w:rsidRPr="00E33825">
        <w:rPr>
          <w:rFonts w:ascii="Times New Roman" w:hAnsi="Times New Roman" w:cs="Times New Roman"/>
          <w:sz w:val="28"/>
          <w:szCs w:val="28"/>
        </w:rPr>
        <w:t>]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>Механізми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та отримання е-книг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існують двох типів: 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453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безплатні, 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>вільного доступу (</w:t>
      </w:r>
      <w:r w:rsidR="00EE5453" w:rsidRPr="00E27D0A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5453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>що знаходяться у суспільному надбанні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>) та платні (ліцензовані)</w:t>
      </w:r>
      <w:r w:rsidR="00EE5453" w:rsidRPr="00E27D0A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останньому випадку бібліотека має розглядати можливості : придбання у постійне користування; придбання у тимчасове користування; отримання плати за перегляд (чи завантаження) кожної окремої книги для кожного окремого користувача. Станом на сьогодні в 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бібліотеках України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існують  лише 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>копії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>оцифрованих</w:t>
      </w:r>
      <w:proofErr w:type="spellEnd"/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видань в </w:t>
      </w:r>
      <w:r w:rsidR="00CD223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>-форматі</w:t>
      </w:r>
      <w:r w:rsidR="00E5159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37E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Не захищені належним чином, з відсутністю дистанційного доступу та забороною копіювання та поширення документів. </w:t>
      </w:r>
    </w:p>
    <w:p w:rsidR="008D13DC" w:rsidRPr="00E27D0A" w:rsidRDefault="00EE5453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Процес імплементації європейського досвіду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та інтернаціоналізації академічних бібліотек </w:t>
      </w:r>
      <w:r w:rsidR="005E1F23" w:rsidRPr="005E1F2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E1F23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5E1F23">
        <w:rPr>
          <w:rFonts w:ascii="Times New Roman" w:hAnsi="Times New Roman" w:cs="Times New Roman"/>
          <w:sz w:val="28"/>
          <w:szCs w:val="28"/>
          <w:lang w:val="uk-UA"/>
        </w:rPr>
        <w:instrText xml:space="preserve"> REF _Ref32504994 \r \h </w:instrText>
      </w:r>
      <w:r w:rsidR="005E1F23">
        <w:rPr>
          <w:rFonts w:ascii="Times New Roman" w:hAnsi="Times New Roman" w:cs="Times New Roman"/>
          <w:sz w:val="28"/>
          <w:szCs w:val="28"/>
          <w:lang w:val="uk-UA"/>
        </w:rPr>
      </w:r>
      <w:r w:rsidR="005E1F23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5E1F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F23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5E1F23" w:rsidRPr="005E1F23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неможливий без </w:t>
      </w:r>
      <w:r w:rsidR="00B545B3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унормування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бібліотечних стандартів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каталогізування</w:t>
      </w:r>
      <w:proofErr w:type="spellEnd"/>
      <w:r w:rsidR="00B545B3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Перехід </w:t>
      </w:r>
      <w:r w:rsidR="00310094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в провідних країнах світу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на міжнародний </w:t>
      </w:r>
      <w:r w:rsidR="00310094" w:rsidRPr="00E27D0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тандарт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каталогізування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21 століття RDA став значним кроком у розвитку ст</w:t>
      </w:r>
      <w:r w:rsidR="005F2414" w:rsidRPr="00E27D0A">
        <w:rPr>
          <w:rFonts w:ascii="Times New Roman" w:hAnsi="Times New Roman" w:cs="Times New Roman"/>
          <w:sz w:val="28"/>
          <w:szCs w:val="28"/>
          <w:lang w:val="uk-UA"/>
        </w:rPr>
        <w:t>андартів і правил каталогізації, оскільки с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творені за RDA описи призначені вже для онлайнових каталогів</w:t>
      </w:r>
      <w:r w:rsidR="00E33825" w:rsidRPr="00E33825">
        <w:rPr>
          <w:rFonts w:ascii="Times New Roman" w:hAnsi="Times New Roman" w:cs="Times New Roman"/>
          <w:sz w:val="28"/>
          <w:szCs w:val="28"/>
        </w:rPr>
        <w:t xml:space="preserve"> [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instrText xml:space="preserve"> REF _Ref32504617 \r \h </w:instrText>
      </w:r>
      <w:r w:rsidR="00E33825">
        <w:rPr>
          <w:rFonts w:ascii="Times New Roman" w:hAnsi="Times New Roman" w:cs="Times New Roman"/>
          <w:sz w:val="28"/>
          <w:szCs w:val="28"/>
          <w:lang w:val="uk-UA"/>
        </w:rPr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33825" w:rsidRPr="00E33825">
        <w:rPr>
          <w:rFonts w:ascii="Times New Roman" w:hAnsi="Times New Roman" w:cs="Times New Roman"/>
          <w:sz w:val="28"/>
          <w:szCs w:val="28"/>
        </w:rPr>
        <w:t>]</w:t>
      </w:r>
      <w:r w:rsidR="00310094" w:rsidRPr="00E27D0A">
        <w:rPr>
          <w:rFonts w:ascii="Times New Roman" w:hAnsi="Times New Roman" w:cs="Times New Roman"/>
          <w:sz w:val="28"/>
          <w:szCs w:val="28"/>
          <w:lang w:val="uk-UA"/>
        </w:rPr>
        <w:t>. Для інтеграції вітчизняних бібліотек у світове професійне та інформаційне середовище, вільний обмін бібліографічними даними між бібліотеками, інтеграції електронного каталогу в інші інформаційні середовища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, зокрема </w:t>
      </w:r>
      <w:proofErr w:type="spellStart"/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>WorldCat</w:t>
      </w:r>
      <w:proofErr w:type="spellEnd"/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6C6" w:rsidRPr="00E27D0A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0094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здійснювати переклад, адаптацію та впровадження RDA</w:t>
      </w:r>
      <w:r w:rsidR="002A501E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На жаль, право на переклад видання RDA в України ще немає. </w:t>
      </w:r>
      <w:r w:rsidR="00672838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перешкодою впровадження RDA в Україні </w:t>
      </w:r>
      <w:r w:rsidR="00310094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стає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технологічне і програмне забезпечення бібліотек України. Більшість АБІС, що застосовуються у бібліотеках України, не в змозі підтримувати функціонування нового стандарту. Жодного комунікативного формату не підтримують АБІС власної розробки.  ІРБІС,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Unilib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LiberMedia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підтримують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Unimarc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та формати похідні від нього. Лише МАРК-SQL, ALEPH, нещодавно і УФД/Бібліотека підтримують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Unimarc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і MARC21. Однак, завдання </w:t>
      </w:r>
      <w:r w:rsidR="005576C6" w:rsidRPr="00E27D0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ошуку програмного та технологічного забезпечення процесу каталогізації, що відповідає </w:t>
      </w:r>
      <w:r w:rsidR="005576C6" w:rsidRPr="00E27D0A">
        <w:rPr>
          <w:rFonts w:ascii="Times New Roman" w:hAnsi="Times New Roman" w:cs="Times New Roman"/>
          <w:sz w:val="28"/>
          <w:szCs w:val="28"/>
          <w:lang w:val="uk-UA"/>
        </w:rPr>
        <w:t>світовим стандартам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, зіткнулося із значними матеріальними</w:t>
      </w:r>
      <w:r w:rsidR="005576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та методологічними труднощами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не лише у площині матеріального забезпечення, але й науково-організаційного. Деякі бібліотеки почали звертатися до відкритих Інтегрованих бібліотечних систем (FOSS або F/LOSS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Free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Libre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Software</w:t>
      </w:r>
      <w:proofErr w:type="spellEnd"/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). Завдяки відкрит</w:t>
      </w:r>
      <w:r w:rsidR="00FC122C" w:rsidRPr="00E27D0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це дозволяє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інтегрувати бібліотечний каталог 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інші інформаційні середовища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FC122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роте 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C053C6" w:rsidRPr="00E27D0A">
        <w:rPr>
          <w:rFonts w:ascii="Times New Roman" w:hAnsi="Times New Roman" w:cs="Times New Roman"/>
          <w:sz w:val="28"/>
          <w:szCs w:val="28"/>
          <w:lang w:val="uk-UA"/>
        </w:rPr>
        <w:t>кваліфікованого персоналу</w:t>
      </w:r>
      <w:r w:rsidR="008D13DC"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, який вміє працювати з відкритим кодом. </w:t>
      </w:r>
    </w:p>
    <w:p w:rsidR="00F726FE" w:rsidRPr="00E27D0A" w:rsidRDefault="00F726FE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>Важливо також приділяти велику увагу безпеці бібліотечної інформаційної системи, функціонування якої повинна бути реалізована на принципах цілісності, надійності та доступності</w:t>
      </w:r>
      <w:r w:rsidR="00E33825" w:rsidRPr="00E3382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instrText xml:space="preserve"> REF _Ref32504816 \r \h </w:instrText>
      </w:r>
      <w:r w:rsidR="00E33825">
        <w:rPr>
          <w:rFonts w:ascii="Times New Roman" w:hAnsi="Times New Roman" w:cs="Times New Roman"/>
          <w:sz w:val="28"/>
          <w:szCs w:val="28"/>
          <w:lang w:val="uk-UA"/>
        </w:rPr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instrText xml:space="preserve"> REF _Ref32504819 \r \h </w:instrText>
      </w:r>
      <w:r w:rsidR="00E33825">
        <w:rPr>
          <w:rFonts w:ascii="Times New Roman" w:hAnsi="Times New Roman" w:cs="Times New Roman"/>
          <w:sz w:val="28"/>
          <w:szCs w:val="28"/>
          <w:lang w:val="uk-UA"/>
        </w:rPr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instrText xml:space="preserve"> REF _Ref32504823 \r \h </w:instrText>
      </w:r>
      <w:r w:rsidR="00E33825">
        <w:rPr>
          <w:rFonts w:ascii="Times New Roman" w:hAnsi="Times New Roman" w:cs="Times New Roman"/>
          <w:sz w:val="28"/>
          <w:szCs w:val="28"/>
          <w:lang w:val="uk-UA"/>
        </w:rPr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33825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33825" w:rsidRPr="00E3382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. Однак існує багато потенційних проблем безпеки, що загрожують її нормальній роботі. За даними статистики понад 90% бібліотек стикалися з негативними явищами у роботі інформаційних систем бібліотек, зокрема втратою статистики, несанкціонованої модифікацією даних, зараженням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комп`терної</w:t>
      </w:r>
      <w:proofErr w:type="spellEnd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техніки вірусам. </w:t>
      </w:r>
      <w:r w:rsidR="00E27D0A" w:rsidRPr="00E27D0A">
        <w:rPr>
          <w:rFonts w:ascii="Times New Roman" w:hAnsi="Times New Roman" w:cs="Times New Roman"/>
          <w:sz w:val="28"/>
          <w:szCs w:val="28"/>
          <w:lang w:val="uk-UA"/>
        </w:rPr>
        <w:t>Важливо приділяти високий інтерес звичайним та потенційним небезпечним факторам. Основні небезпечні фактори можуть бути визначені наступним чином: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зовнішні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об`єктівні</w:t>
      </w:r>
      <w:proofErr w:type="spellEnd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фактори (техногенного та антропогенного характеру);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>пошкодження апаратних засобів;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зараження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коп`ютерним</w:t>
      </w:r>
      <w:proofErr w:type="spellEnd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 вірусом;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>недоліки у системі контролю доступу;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недоліки в навчанні персоналу;</w:t>
      </w:r>
    </w:p>
    <w:p w:rsidR="00E27D0A" w:rsidRPr="00E27D0A" w:rsidRDefault="00E27D0A" w:rsidP="0050768A">
      <w:pPr>
        <w:tabs>
          <w:tab w:val="left" w:pos="76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0A">
        <w:rPr>
          <w:rFonts w:ascii="Times New Roman" w:hAnsi="Times New Roman" w:cs="Times New Roman"/>
          <w:sz w:val="28"/>
          <w:szCs w:val="28"/>
          <w:lang w:val="uk-UA"/>
        </w:rPr>
        <w:t>Варто виокремити положення, що допоможуть у забезпеченні безпеки бібліотечної інформаційної системи</w:t>
      </w:r>
      <w:r w:rsidR="00D355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D0A" w:rsidRPr="00D35530" w:rsidRDefault="00D35530" w:rsidP="0050768A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Ref32504694"/>
      <w:r w:rsidRPr="00D3553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7D0A" w:rsidRPr="00D35530">
        <w:rPr>
          <w:rFonts w:ascii="Times New Roman" w:hAnsi="Times New Roman" w:cs="Times New Roman"/>
          <w:sz w:val="28"/>
          <w:szCs w:val="28"/>
          <w:lang w:val="uk-UA"/>
        </w:rPr>
        <w:t xml:space="preserve">апобігання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зараженню </w:t>
      </w:r>
      <w:r w:rsidR="00E27D0A" w:rsidRPr="00D35530">
        <w:rPr>
          <w:rFonts w:ascii="Times New Roman" w:hAnsi="Times New Roman" w:cs="Times New Roman"/>
          <w:sz w:val="28"/>
          <w:szCs w:val="28"/>
          <w:lang w:val="uk-UA"/>
        </w:rPr>
        <w:t>комп'ютерним вірусам</w:t>
      </w:r>
      <w:bookmarkEnd w:id="1"/>
      <w:r w:rsidR="00E338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5530" w:rsidRDefault="00D35530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</w:t>
      </w:r>
      <w:r w:rsidRPr="00D35530">
        <w:rPr>
          <w:rFonts w:eastAsiaTheme="minorHAnsi"/>
          <w:sz w:val="28"/>
          <w:szCs w:val="28"/>
          <w:lang w:val="uk-UA" w:eastAsia="en-US"/>
        </w:rPr>
        <w:t>станов</w:t>
      </w:r>
      <w:r>
        <w:rPr>
          <w:rFonts w:eastAsiaTheme="minorHAnsi"/>
          <w:sz w:val="28"/>
          <w:szCs w:val="28"/>
          <w:lang w:val="uk-UA" w:eastAsia="en-US"/>
        </w:rPr>
        <w:t xml:space="preserve">лення </w:t>
      </w:r>
      <w:r w:rsidRPr="00D35530">
        <w:rPr>
          <w:rFonts w:eastAsiaTheme="minorHAnsi"/>
          <w:sz w:val="28"/>
          <w:szCs w:val="28"/>
          <w:lang w:val="uk-UA" w:eastAsia="en-US"/>
        </w:rPr>
        <w:t>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D35530">
        <w:rPr>
          <w:rFonts w:eastAsiaTheme="minorHAnsi"/>
          <w:sz w:val="28"/>
          <w:szCs w:val="28"/>
          <w:lang w:val="uk-UA" w:eastAsia="en-US"/>
        </w:rPr>
        <w:t>комп'ютер сучасн</w:t>
      </w:r>
      <w:r>
        <w:rPr>
          <w:rFonts w:eastAsiaTheme="minorHAnsi"/>
          <w:sz w:val="28"/>
          <w:szCs w:val="28"/>
          <w:lang w:val="uk-UA" w:eastAsia="en-US"/>
        </w:rPr>
        <w:t xml:space="preserve">е антивірусне </w:t>
      </w:r>
      <w:r w:rsidRPr="00D35530">
        <w:rPr>
          <w:rFonts w:eastAsiaTheme="minorHAnsi"/>
          <w:sz w:val="28"/>
          <w:szCs w:val="28"/>
          <w:lang w:val="uk-UA" w:eastAsia="en-US"/>
        </w:rPr>
        <w:t>програм</w:t>
      </w:r>
      <w:r>
        <w:rPr>
          <w:rFonts w:eastAsiaTheme="minorHAnsi"/>
          <w:sz w:val="28"/>
          <w:szCs w:val="28"/>
          <w:lang w:val="uk-UA" w:eastAsia="en-US"/>
        </w:rPr>
        <w:t xml:space="preserve">не забезпечення </w:t>
      </w:r>
      <w:r w:rsidRPr="00D35530">
        <w:rPr>
          <w:rFonts w:eastAsiaTheme="minorHAnsi"/>
          <w:sz w:val="28"/>
          <w:szCs w:val="28"/>
          <w:lang w:val="uk-UA" w:eastAsia="en-US"/>
        </w:rPr>
        <w:t>та своєчасн</w:t>
      </w:r>
      <w:r>
        <w:rPr>
          <w:rFonts w:eastAsiaTheme="minorHAnsi"/>
          <w:sz w:val="28"/>
          <w:szCs w:val="28"/>
          <w:lang w:val="uk-UA" w:eastAsia="en-US"/>
        </w:rPr>
        <w:t xml:space="preserve">е оновлення його. </w:t>
      </w:r>
    </w:p>
    <w:p w:rsidR="00D35530" w:rsidRDefault="00D35530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rPr>
          <w:rFonts w:eastAsiaTheme="minorHAnsi"/>
          <w:sz w:val="28"/>
          <w:szCs w:val="28"/>
          <w:lang w:val="uk-UA" w:eastAsia="en-US"/>
        </w:rPr>
      </w:pPr>
      <w:r w:rsidRPr="00D35530">
        <w:rPr>
          <w:rFonts w:eastAsiaTheme="minorHAnsi"/>
          <w:sz w:val="28"/>
          <w:szCs w:val="28"/>
          <w:lang w:val="uk-UA" w:eastAsia="en-US"/>
        </w:rPr>
        <w:t>Варто періодично перевіряти жорсткі диски комп'ютера на наявність комп'ютерних вірусів.</w:t>
      </w:r>
    </w:p>
    <w:p w:rsidR="00D35530" w:rsidRDefault="00D35530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rPr>
          <w:rFonts w:eastAsiaTheme="minorHAnsi"/>
          <w:sz w:val="28"/>
          <w:szCs w:val="28"/>
          <w:lang w:val="uk-UA" w:eastAsia="en-US"/>
        </w:rPr>
      </w:pPr>
      <w:r w:rsidRPr="00D35530">
        <w:rPr>
          <w:rFonts w:eastAsiaTheme="minorHAnsi"/>
          <w:sz w:val="28"/>
          <w:szCs w:val="28"/>
          <w:lang w:val="uk-UA" w:eastAsia="en-US"/>
        </w:rPr>
        <w:t>Налагодження системи резервного копіювання інформації на зовнішні запам'ятовуючі пристрої.</w:t>
      </w:r>
    </w:p>
    <w:p w:rsidR="00D35530" w:rsidRDefault="00D35530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rPr>
          <w:rFonts w:eastAsiaTheme="minorHAnsi"/>
          <w:sz w:val="28"/>
          <w:szCs w:val="28"/>
          <w:lang w:val="uk-UA" w:eastAsia="en-US"/>
        </w:rPr>
      </w:pPr>
      <w:r w:rsidRPr="00D35530">
        <w:rPr>
          <w:rFonts w:eastAsiaTheme="minorHAnsi"/>
          <w:sz w:val="28"/>
          <w:szCs w:val="28"/>
          <w:lang w:val="uk-UA" w:eastAsia="en-US"/>
        </w:rPr>
        <w:t>Обов'язкова перевірка всіх підключень зовнішніх запам`ятовуючих пристроїв  на наявність комп'ютерних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E27D0A" w:rsidRPr="00E27D0A" w:rsidRDefault="00E27D0A" w:rsidP="0050768A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Ref32504674"/>
      <w:r w:rsidRPr="00E27D0A">
        <w:rPr>
          <w:rFonts w:ascii="Times New Roman" w:hAnsi="Times New Roman" w:cs="Times New Roman"/>
          <w:sz w:val="28"/>
          <w:szCs w:val="28"/>
          <w:lang w:val="uk-UA"/>
        </w:rPr>
        <w:t xml:space="preserve">Брандмауер, шифрування та </w:t>
      </w:r>
      <w:proofErr w:type="spellStart"/>
      <w:r w:rsidRPr="00E27D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76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27D0A">
        <w:rPr>
          <w:rFonts w:ascii="Times New Roman" w:hAnsi="Times New Roman" w:cs="Times New Roman"/>
          <w:sz w:val="28"/>
          <w:szCs w:val="28"/>
          <w:lang w:val="uk-UA"/>
        </w:rPr>
        <w:t>тентифікація</w:t>
      </w:r>
      <w:bookmarkEnd w:id="2"/>
      <w:proofErr w:type="spellEnd"/>
    </w:p>
    <w:p w:rsidR="0050768A" w:rsidRPr="0050768A" w:rsidRDefault="00E27D0A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  <w:lang w:val="uk-UA"/>
        </w:rPr>
      </w:pPr>
      <w:r w:rsidRPr="0050768A">
        <w:rPr>
          <w:rFonts w:eastAsiaTheme="minorHAnsi"/>
          <w:sz w:val="28"/>
          <w:szCs w:val="28"/>
          <w:lang w:val="uk-UA" w:eastAsia="en-US"/>
        </w:rPr>
        <w:t>Брандмауер</w:t>
      </w:r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 - програмний продукт або програмно-апаратний комплекс, який контролює </w:t>
      </w:r>
      <w:r w:rsidR="0050768A" w:rsidRPr="0050768A">
        <w:rPr>
          <w:rFonts w:eastAsiaTheme="minorHAnsi"/>
          <w:sz w:val="28"/>
          <w:szCs w:val="28"/>
          <w:lang w:val="uk-UA" w:eastAsia="en-US"/>
        </w:rPr>
        <w:t>мережеві</w:t>
      </w:r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 пакети або встановлені програми. </w:t>
      </w:r>
      <w:r w:rsidR="0050768A" w:rsidRPr="0050768A">
        <w:rPr>
          <w:rFonts w:eastAsiaTheme="minorHAnsi"/>
          <w:sz w:val="28"/>
          <w:szCs w:val="28"/>
          <w:lang w:val="uk-UA" w:eastAsia="en-US"/>
        </w:rPr>
        <w:t>Потрібен</w:t>
      </w:r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 для захисту систем від комп'ютерних атак. Брандмау</w:t>
      </w:r>
      <w:r w:rsidR="0050768A" w:rsidRPr="0050768A">
        <w:rPr>
          <w:rFonts w:eastAsiaTheme="minorHAnsi"/>
          <w:sz w:val="28"/>
          <w:szCs w:val="28"/>
          <w:lang w:val="uk-UA" w:eastAsia="en-US"/>
        </w:rPr>
        <w:t>е</w:t>
      </w:r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ром також може називати </w:t>
      </w:r>
      <w:proofErr w:type="spellStart"/>
      <w:r w:rsidR="0050768A" w:rsidRPr="0050768A">
        <w:rPr>
          <w:rFonts w:eastAsiaTheme="minorHAnsi"/>
          <w:sz w:val="28"/>
          <w:szCs w:val="28"/>
          <w:lang w:val="uk-UA" w:eastAsia="en-US"/>
        </w:rPr>
        <w:t>міжмережевий</w:t>
      </w:r>
      <w:proofErr w:type="spellEnd"/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 екран, </w:t>
      </w:r>
      <w:r w:rsidR="0050768A">
        <w:rPr>
          <w:rFonts w:eastAsiaTheme="minorHAnsi"/>
          <w:sz w:val="28"/>
          <w:szCs w:val="28"/>
          <w:lang w:val="uk-UA" w:eastAsia="en-US"/>
        </w:rPr>
        <w:t>мережевий</w:t>
      </w:r>
      <w:r w:rsidR="00D35530" w:rsidRPr="0050768A">
        <w:rPr>
          <w:rFonts w:eastAsiaTheme="minorHAnsi"/>
          <w:sz w:val="28"/>
          <w:szCs w:val="28"/>
          <w:lang w:val="uk-UA" w:eastAsia="en-US"/>
        </w:rPr>
        <w:t xml:space="preserve"> екран або </w:t>
      </w:r>
      <w:proofErr w:type="spellStart"/>
      <w:r w:rsidR="0050768A" w:rsidRPr="0050768A">
        <w:rPr>
          <w:rFonts w:eastAsiaTheme="minorHAnsi"/>
          <w:sz w:val="28"/>
          <w:szCs w:val="28"/>
          <w:lang w:val="uk-UA" w:eastAsia="en-US"/>
        </w:rPr>
        <w:t>firewall</w:t>
      </w:r>
      <w:proofErr w:type="spellEnd"/>
      <w:r w:rsidR="00D35530" w:rsidRPr="0050768A">
        <w:rPr>
          <w:rFonts w:eastAsiaTheme="minorHAnsi"/>
          <w:sz w:val="28"/>
          <w:szCs w:val="28"/>
          <w:lang w:val="uk-UA" w:eastAsia="en-US"/>
        </w:rPr>
        <w:t>.</w:t>
      </w:r>
      <w:r w:rsidRPr="0050768A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50768A" w:rsidRDefault="00E27D0A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  <w:lang w:val="uk-UA"/>
        </w:rPr>
      </w:pPr>
      <w:r w:rsidRPr="0050768A">
        <w:rPr>
          <w:sz w:val="28"/>
          <w:szCs w:val="28"/>
          <w:lang w:val="uk-UA"/>
        </w:rPr>
        <w:t xml:space="preserve">Шифрування. Основним інструментом захисту є шифрування системи або шифрування інформації. За допомогою програмного забезпечення для шифрування бібліотека може шифрувати або кодувати повідомлення електронної пошти, файли та інші дані. </w:t>
      </w:r>
      <w:r w:rsidR="0050768A">
        <w:rPr>
          <w:sz w:val="28"/>
          <w:szCs w:val="28"/>
          <w:lang w:val="uk-UA"/>
        </w:rPr>
        <w:t>,</w:t>
      </w:r>
    </w:p>
    <w:p w:rsidR="00E27D0A" w:rsidRPr="0050768A" w:rsidRDefault="0050768A" w:rsidP="0050768A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113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Аутентифікація</w:t>
      </w:r>
      <w:proofErr w:type="spellEnd"/>
      <w:r>
        <w:rPr>
          <w:sz w:val="28"/>
          <w:szCs w:val="28"/>
          <w:lang w:val="uk-UA"/>
        </w:rPr>
        <w:t xml:space="preserve"> - </w:t>
      </w:r>
      <w:r w:rsidRPr="0050768A">
        <w:rPr>
          <w:sz w:val="28"/>
          <w:szCs w:val="28"/>
          <w:lang w:val="uk-UA"/>
        </w:rPr>
        <w:t>процес перевірки належності суб'єкту прав доступу до інформаційних ресурсів системи або веб-сайту відповідно до пред'явленими їм ідентифікатором</w:t>
      </w:r>
      <w:r>
        <w:rPr>
          <w:sz w:val="28"/>
          <w:szCs w:val="28"/>
          <w:lang w:val="uk-UA"/>
        </w:rPr>
        <w:t>,</w:t>
      </w:r>
      <w:r w:rsidRPr="0050768A">
        <w:rPr>
          <w:sz w:val="28"/>
          <w:szCs w:val="28"/>
          <w:lang w:val="uk-UA"/>
        </w:rPr>
        <w:t xml:space="preserve"> підтвердження (встановлення) автентичності суб'єкта. </w:t>
      </w:r>
      <w:r w:rsidR="00E27D0A" w:rsidRPr="0050768A">
        <w:rPr>
          <w:sz w:val="28"/>
          <w:szCs w:val="28"/>
          <w:lang w:val="uk-UA"/>
        </w:rPr>
        <w:t>Встановлення автентичності є основним захисним ступенем для запобігання незаконному зловмиснику.</w:t>
      </w:r>
    </w:p>
    <w:p w:rsidR="00E33825" w:rsidRDefault="00E33825" w:rsidP="006E5175">
      <w:pPr>
        <w:shd w:val="clear" w:color="auto" w:fill="FFFFFF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</w:p>
    <w:p w:rsidR="006E5175" w:rsidRPr="006E5175" w:rsidRDefault="006E5175" w:rsidP="006E5175">
      <w:pPr>
        <w:shd w:val="clear" w:color="auto" w:fill="FFFFFF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6E5175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Список </w:t>
      </w:r>
      <w:r w:rsidR="005E1F23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використаних джерел</w:t>
      </w:r>
      <w:r w:rsidRPr="006E5175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: </w:t>
      </w:r>
    </w:p>
    <w:p w:rsidR="006E5175" w:rsidRPr="006E5175" w:rsidRDefault="006E5175" w:rsidP="006E5175">
      <w:pPr>
        <w:pStyle w:val="a8"/>
        <w:numPr>
          <w:ilvl w:val="0"/>
          <w:numId w:val="4"/>
        </w:numPr>
        <w:shd w:val="clear" w:color="auto" w:fill="FFFFFF"/>
        <w:spacing w:after="0" w:line="235" w:lineRule="atLeast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bookmarkStart w:id="3" w:name="_Ref32504816"/>
      <w:proofErr w:type="spellStart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lastRenderedPageBreak/>
        <w:t>Борсуковський</w:t>
      </w:r>
      <w:proofErr w:type="spellEnd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, Ю. В., Бурячок, В. Л., &amp; Складаний, П. М. (2016). Аналіз сучасних вимог до створення парольних політик корпоративних користувачів.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Сучасний захист інформації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,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3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, 72-76.</w:t>
      </w:r>
      <w:bookmarkEnd w:id="3"/>
    </w:p>
    <w:p w:rsidR="006E5175" w:rsidRPr="006E5175" w:rsidRDefault="006E5175" w:rsidP="006E5175">
      <w:pPr>
        <w:pStyle w:val="a8"/>
        <w:numPr>
          <w:ilvl w:val="0"/>
          <w:numId w:val="4"/>
        </w:numPr>
        <w:shd w:val="clear" w:color="auto" w:fill="FFFFFF"/>
        <w:spacing w:after="0" w:line="235" w:lineRule="atLeast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bookmarkStart w:id="4" w:name="_Ref32504819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Бурячок, В. Л., Козачок, В. А., Бурячок, Л. В., &amp; Складаний, П. М. (2015). </w:t>
      </w:r>
      <w:proofErr w:type="spellStart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Пентестінг</w:t>
      </w:r>
      <w:proofErr w:type="spellEnd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як інструмент комплексної оцінки ефективності захисту інформації в розподілених корпоративних мережах.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Сучасний захист інформації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 : науково-</w:t>
      </w:r>
      <w:proofErr w:type="spellStart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техніч</w:t>
      </w:r>
      <w:proofErr w:type="spellEnd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. журнал,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3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, 4-12.</w:t>
      </w:r>
      <w:bookmarkEnd w:id="4"/>
    </w:p>
    <w:p w:rsidR="006E5175" w:rsidRPr="006E5175" w:rsidRDefault="006E5175" w:rsidP="006E5175">
      <w:pPr>
        <w:pStyle w:val="a9"/>
        <w:numPr>
          <w:ilvl w:val="0"/>
          <w:numId w:val="4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  <w:lang w:val="uk-UA"/>
        </w:rPr>
      </w:pPr>
      <w:bookmarkStart w:id="5" w:name="_Ref32504549"/>
      <w:proofErr w:type="spellStart"/>
      <w:r w:rsidRPr="006E5175">
        <w:rPr>
          <w:sz w:val="28"/>
          <w:szCs w:val="28"/>
          <w:shd w:val="clear" w:color="auto" w:fill="FFFFFF"/>
          <w:lang w:val="uk-UA"/>
        </w:rPr>
        <w:t>Ваучерная</w:t>
      </w:r>
      <w:proofErr w:type="spellEnd"/>
      <w:r w:rsidRPr="006E5175">
        <w:rPr>
          <w:sz w:val="28"/>
          <w:szCs w:val="28"/>
          <w:shd w:val="clear" w:color="auto" w:fill="FFFFFF"/>
          <w:lang w:val="uk-UA"/>
        </w:rPr>
        <w:t xml:space="preserve"> система ИФЛА. Система </w:t>
      </w:r>
      <w:proofErr w:type="spellStart"/>
      <w:r w:rsidRPr="006E5175">
        <w:rPr>
          <w:sz w:val="28"/>
          <w:szCs w:val="28"/>
          <w:shd w:val="clear" w:color="auto" w:fill="FFFFFF"/>
          <w:lang w:val="uk-UA"/>
        </w:rPr>
        <w:t>оплаты</w:t>
      </w:r>
      <w:proofErr w:type="spellEnd"/>
      <w:r w:rsidRPr="006E5175">
        <w:rPr>
          <w:sz w:val="28"/>
          <w:szCs w:val="28"/>
          <w:shd w:val="clear" w:color="auto" w:fill="FFFFFF"/>
          <w:lang w:val="uk-UA"/>
        </w:rPr>
        <w:t xml:space="preserve"> услуг </w:t>
      </w:r>
      <w:proofErr w:type="spellStart"/>
      <w:r w:rsidRPr="006E5175">
        <w:rPr>
          <w:sz w:val="28"/>
          <w:szCs w:val="28"/>
          <w:shd w:val="clear" w:color="auto" w:fill="FFFFFF"/>
          <w:lang w:val="uk-UA"/>
        </w:rPr>
        <w:t>международного</w:t>
      </w:r>
      <w:proofErr w:type="spellEnd"/>
      <w:r w:rsidRPr="006E5175">
        <w:rPr>
          <w:sz w:val="28"/>
          <w:szCs w:val="28"/>
          <w:shd w:val="clear" w:color="auto" w:fill="FFFFFF"/>
          <w:lang w:val="uk-UA"/>
        </w:rPr>
        <w:t xml:space="preserve"> абонемента (ММБА) / International Federation of Library Associations and Institutions. Режим доступу: </w:t>
      </w:r>
      <w:hyperlink r:id="rId17" w:tgtFrame="_blank" w:history="1">
        <w:r w:rsidRPr="006E5175">
          <w:rPr>
            <w:rStyle w:val="a7"/>
            <w:color w:val="1155CC"/>
            <w:sz w:val="28"/>
            <w:szCs w:val="28"/>
            <w:shd w:val="clear" w:color="auto" w:fill="FFFFFF"/>
            <w:lang w:val="uk-UA"/>
          </w:rPr>
          <w:t>https://www.ifla.org/files/assets/hq/vouchers/voucher_RU.pdf</w:t>
        </w:r>
      </w:hyperlink>
      <w:bookmarkEnd w:id="5"/>
    </w:p>
    <w:p w:rsidR="006E5175" w:rsidRPr="006E5175" w:rsidRDefault="006E5175" w:rsidP="006E5175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uk-UA"/>
        </w:rPr>
      </w:pPr>
      <w:bookmarkStart w:id="6" w:name="_Ref32504823"/>
      <w:proofErr w:type="spellStart"/>
      <w:r w:rsidRPr="006E5175">
        <w:rPr>
          <w:color w:val="222222"/>
          <w:sz w:val="28"/>
          <w:szCs w:val="28"/>
          <w:lang w:val="uk-UA"/>
        </w:rPr>
        <w:t>Киричок</w:t>
      </w:r>
      <w:proofErr w:type="spellEnd"/>
      <w:r w:rsidRPr="006E5175">
        <w:rPr>
          <w:color w:val="222222"/>
          <w:sz w:val="28"/>
          <w:szCs w:val="28"/>
          <w:lang w:val="uk-UA"/>
        </w:rPr>
        <w:t>, Р. В., Складаний, П. М., Бурячок, В. Л., Гулак, Г. М., &amp; Козачок, В. А. (2016). Проблеми забезпечення контролю захищеності корпоративних мереж та шляхи їх вирішення. </w:t>
      </w:r>
      <w:r w:rsidRPr="006E5175">
        <w:rPr>
          <w:i/>
          <w:iCs/>
          <w:color w:val="222222"/>
          <w:sz w:val="28"/>
          <w:szCs w:val="28"/>
          <w:lang w:val="uk-UA"/>
        </w:rPr>
        <w:t>Наукові записки Українського науково-дослідного інституту зв’язку</w:t>
      </w:r>
      <w:r w:rsidRPr="006E5175">
        <w:rPr>
          <w:color w:val="222222"/>
          <w:sz w:val="28"/>
          <w:szCs w:val="28"/>
          <w:lang w:val="uk-UA"/>
        </w:rPr>
        <w:t>, </w:t>
      </w:r>
      <w:r w:rsidRPr="006E5175">
        <w:rPr>
          <w:i/>
          <w:iCs/>
          <w:color w:val="222222"/>
          <w:sz w:val="28"/>
          <w:szCs w:val="28"/>
          <w:lang w:val="uk-UA"/>
        </w:rPr>
        <w:t>3</w:t>
      </w:r>
      <w:r w:rsidRPr="006E5175">
        <w:rPr>
          <w:color w:val="222222"/>
          <w:sz w:val="28"/>
          <w:szCs w:val="28"/>
          <w:lang w:val="uk-UA"/>
        </w:rPr>
        <w:t>, 48-61</w:t>
      </w:r>
      <w:bookmarkEnd w:id="6"/>
    </w:p>
    <w:p w:rsidR="006E5175" w:rsidRPr="006E5175" w:rsidRDefault="006E5175" w:rsidP="006E5175">
      <w:pPr>
        <w:pStyle w:val="a8"/>
        <w:numPr>
          <w:ilvl w:val="0"/>
          <w:numId w:val="4"/>
        </w:numPr>
        <w:shd w:val="clear" w:color="auto" w:fill="FFFFFF"/>
        <w:spacing w:after="0" w:line="235" w:lineRule="atLeast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bookmarkStart w:id="7" w:name="_Ref32504994"/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Опришко, Т., &amp; Тимофєєва, Г. (2019). Інтернаціоналізація як стратегія розвитку академічних бібліотек.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Бібліотечний Меркурій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, </w:t>
      </w:r>
      <w:r w:rsidRPr="006E5175">
        <w:rPr>
          <w:rFonts w:ascii="Times New Roman" w:hAnsi="Times New Roman" w:cs="Times New Roman"/>
          <w:i/>
          <w:iCs/>
          <w:color w:val="222222"/>
          <w:sz w:val="28"/>
          <w:szCs w:val="28"/>
          <w:lang w:val="uk-UA"/>
        </w:rPr>
        <w:t>24(1(21)),</w:t>
      </w:r>
      <w:r w:rsidRPr="006E5175">
        <w:rPr>
          <w:rFonts w:ascii="Times New Roman" w:hAnsi="Times New Roman" w:cs="Times New Roman"/>
          <w:color w:val="222222"/>
          <w:sz w:val="28"/>
          <w:szCs w:val="28"/>
          <w:lang w:val="uk-UA"/>
        </w:rPr>
        <w:t> 155-171. </w:t>
      </w:r>
      <w:hyperlink r:id="rId18" w:tgtFrame="_blank" w:history="1">
        <w:r w:rsidRPr="006E5175">
          <w:rPr>
            <w:rStyle w:val="a7"/>
            <w:rFonts w:ascii="Times New Roman" w:hAnsi="Times New Roman" w:cs="Times New Roman"/>
            <w:color w:val="0563C1"/>
            <w:sz w:val="28"/>
            <w:szCs w:val="28"/>
            <w:lang w:val="uk-UA"/>
          </w:rPr>
          <w:t>https://doi.org/10.18524/2304-1447.2019.1(21).165934</w:t>
        </w:r>
      </w:hyperlink>
      <w:bookmarkEnd w:id="7"/>
    </w:p>
    <w:p w:rsidR="006E5175" w:rsidRPr="006E5175" w:rsidRDefault="006E5175" w:rsidP="006E5175">
      <w:pPr>
        <w:pStyle w:val="a8"/>
        <w:numPr>
          <w:ilvl w:val="0"/>
          <w:numId w:val="4"/>
        </w:numPr>
        <w:spacing w:after="0" w:line="23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8" w:name="_Ref32504582"/>
      <w:r w:rsidRPr="006E51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Пашкова, В. С., &amp; Ярошенко, Т. О. (Ред.). (2013). Електронні книжки та електронні читанки (</w:t>
      </w:r>
      <w:proofErr w:type="spellStart"/>
      <w:r w:rsidRPr="006E51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рідери</w:t>
      </w:r>
      <w:proofErr w:type="spellEnd"/>
      <w:r w:rsidRPr="006E51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в бібліотеці: З чого почати? Київ: </w:t>
      </w:r>
      <w:proofErr w:type="spellStart"/>
      <w:r w:rsidRPr="006E51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Самміт</w:t>
      </w:r>
      <w:proofErr w:type="spellEnd"/>
      <w:r w:rsidRPr="006E51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-Книга.</w:t>
      </w:r>
      <w:bookmarkEnd w:id="8"/>
    </w:p>
    <w:p w:rsidR="006E5175" w:rsidRPr="006E5175" w:rsidRDefault="006E5175" w:rsidP="006E5175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uk-UA"/>
        </w:rPr>
      </w:pPr>
      <w:bookmarkStart w:id="9" w:name="_Ref32504617"/>
      <w:r w:rsidRPr="006E5175">
        <w:rPr>
          <w:color w:val="222222"/>
          <w:sz w:val="28"/>
          <w:szCs w:val="28"/>
          <w:lang w:val="uk-UA"/>
        </w:rPr>
        <w:t xml:space="preserve">RDA: </w:t>
      </w:r>
      <w:proofErr w:type="spellStart"/>
      <w:r w:rsidRPr="006E5175">
        <w:rPr>
          <w:color w:val="222222"/>
          <w:sz w:val="28"/>
          <w:szCs w:val="28"/>
          <w:lang w:val="uk-UA"/>
        </w:rPr>
        <w:t>Resource</w:t>
      </w:r>
      <w:proofErr w:type="spellEnd"/>
      <w:r w:rsidRPr="006E517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6E5175">
        <w:rPr>
          <w:color w:val="222222"/>
          <w:sz w:val="28"/>
          <w:szCs w:val="28"/>
          <w:lang w:val="uk-UA"/>
        </w:rPr>
        <w:t>Description</w:t>
      </w:r>
      <w:proofErr w:type="spellEnd"/>
      <w:r w:rsidRPr="006E5175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6E5175">
        <w:rPr>
          <w:color w:val="222222"/>
          <w:sz w:val="28"/>
          <w:szCs w:val="28"/>
          <w:lang w:val="uk-UA"/>
        </w:rPr>
        <w:t>and</w:t>
      </w:r>
      <w:proofErr w:type="spellEnd"/>
      <w:r w:rsidRPr="006E5175">
        <w:rPr>
          <w:color w:val="222222"/>
          <w:sz w:val="28"/>
          <w:szCs w:val="28"/>
          <w:lang w:val="uk-UA"/>
        </w:rPr>
        <w:t xml:space="preserve"> Access. </w:t>
      </w:r>
      <w:r w:rsidRPr="006E5175">
        <w:rPr>
          <w:i/>
          <w:iCs/>
          <w:color w:val="222222"/>
          <w:sz w:val="28"/>
          <w:szCs w:val="28"/>
          <w:lang w:val="uk-UA"/>
        </w:rPr>
        <w:t>JSC RDA</w:t>
      </w:r>
      <w:r w:rsidRPr="006E5175">
        <w:rPr>
          <w:color w:val="222222"/>
          <w:sz w:val="28"/>
          <w:szCs w:val="28"/>
          <w:lang w:val="uk-UA"/>
        </w:rPr>
        <w:t xml:space="preserve"> : </w:t>
      </w:r>
      <w:proofErr w:type="spellStart"/>
      <w:r w:rsidRPr="006E5175">
        <w:rPr>
          <w:color w:val="222222"/>
          <w:sz w:val="28"/>
          <w:szCs w:val="28"/>
          <w:lang w:val="uk-UA"/>
        </w:rPr>
        <w:t>вебсайт</w:t>
      </w:r>
      <w:proofErr w:type="spellEnd"/>
      <w:r w:rsidRPr="006E5175">
        <w:rPr>
          <w:color w:val="222222"/>
          <w:sz w:val="28"/>
          <w:szCs w:val="28"/>
          <w:lang w:val="uk-UA"/>
        </w:rPr>
        <w:t>. Режим доступу:  </w:t>
      </w:r>
      <w:hyperlink r:id="rId19" w:anchor="background" w:tgtFrame="_blank" w:history="1">
        <w:r w:rsidRPr="006E5175">
          <w:rPr>
            <w:rStyle w:val="a7"/>
            <w:color w:val="0563C1"/>
            <w:sz w:val="28"/>
            <w:szCs w:val="28"/>
            <w:lang w:val="uk-UA"/>
          </w:rPr>
          <w:t>http://www.rda-jsc.org/archivedsite/rda.html#background</w:t>
        </w:r>
      </w:hyperlink>
      <w:bookmarkEnd w:id="9"/>
    </w:p>
    <w:p w:rsidR="00E27D0A" w:rsidRPr="006E5175" w:rsidRDefault="00E27D0A" w:rsidP="00E27D0A">
      <w:pPr>
        <w:tabs>
          <w:tab w:val="left" w:pos="76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C46" w:rsidRDefault="00447C46" w:rsidP="00E27D0A">
      <w:pPr>
        <w:tabs>
          <w:tab w:val="left" w:pos="765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93F" w:rsidRPr="002E693F" w:rsidRDefault="002E693F" w:rsidP="002E693F">
      <w:pPr>
        <w:tabs>
          <w:tab w:val="left" w:pos="76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693F" w:rsidRPr="002E693F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98" w:rsidRDefault="00086498" w:rsidP="00EE5453">
      <w:pPr>
        <w:spacing w:after="0" w:line="240" w:lineRule="auto"/>
      </w:pPr>
      <w:r>
        <w:separator/>
      </w:r>
    </w:p>
  </w:endnote>
  <w:endnote w:type="continuationSeparator" w:id="0">
    <w:p w:rsidR="00086498" w:rsidRDefault="00086498" w:rsidP="00E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653014"/>
      <w:docPartObj>
        <w:docPartGallery w:val="Page Numbers (Bottom of Page)"/>
        <w:docPartUnique/>
      </w:docPartObj>
    </w:sdtPr>
    <w:sdtContent>
      <w:p w:rsidR="00E33825" w:rsidRDefault="00E33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A0">
          <w:rPr>
            <w:noProof/>
          </w:rPr>
          <w:t>2</w:t>
        </w:r>
        <w:r>
          <w:fldChar w:fldCharType="end"/>
        </w:r>
      </w:p>
    </w:sdtContent>
  </w:sdt>
  <w:p w:rsidR="00E33825" w:rsidRDefault="00E33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98" w:rsidRDefault="00086498" w:rsidP="00EE5453">
      <w:pPr>
        <w:spacing w:after="0" w:line="240" w:lineRule="auto"/>
      </w:pPr>
      <w:r>
        <w:separator/>
      </w:r>
    </w:p>
  </w:footnote>
  <w:footnote w:type="continuationSeparator" w:id="0">
    <w:p w:rsidR="00086498" w:rsidRDefault="00086498" w:rsidP="00EE5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5E5"/>
    <w:multiLevelType w:val="hybridMultilevel"/>
    <w:tmpl w:val="56C64B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1111"/>
    <w:multiLevelType w:val="hybridMultilevel"/>
    <w:tmpl w:val="C8F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4E37"/>
    <w:multiLevelType w:val="multilevel"/>
    <w:tmpl w:val="97E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D0D8A"/>
    <w:multiLevelType w:val="hybridMultilevel"/>
    <w:tmpl w:val="12EC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45"/>
    <w:rsid w:val="00000CEA"/>
    <w:rsid w:val="000045DC"/>
    <w:rsid w:val="00086498"/>
    <w:rsid w:val="00110C1E"/>
    <w:rsid w:val="00173B73"/>
    <w:rsid w:val="00174DA0"/>
    <w:rsid w:val="001E1061"/>
    <w:rsid w:val="00254867"/>
    <w:rsid w:val="002A501E"/>
    <w:rsid w:val="002E693F"/>
    <w:rsid w:val="00310094"/>
    <w:rsid w:val="00447C46"/>
    <w:rsid w:val="00472FC8"/>
    <w:rsid w:val="004E03FA"/>
    <w:rsid w:val="0050768A"/>
    <w:rsid w:val="005576C6"/>
    <w:rsid w:val="005B101D"/>
    <w:rsid w:val="005B7BC1"/>
    <w:rsid w:val="005E1F23"/>
    <w:rsid w:val="005F2414"/>
    <w:rsid w:val="00652A15"/>
    <w:rsid w:val="00652C36"/>
    <w:rsid w:val="00672838"/>
    <w:rsid w:val="006E5175"/>
    <w:rsid w:val="007071F8"/>
    <w:rsid w:val="00790F0A"/>
    <w:rsid w:val="007C37E8"/>
    <w:rsid w:val="0083235E"/>
    <w:rsid w:val="008438B8"/>
    <w:rsid w:val="008D13DC"/>
    <w:rsid w:val="008D7D0F"/>
    <w:rsid w:val="00941645"/>
    <w:rsid w:val="00A37C60"/>
    <w:rsid w:val="00A63FB6"/>
    <w:rsid w:val="00A82BE0"/>
    <w:rsid w:val="00B545B3"/>
    <w:rsid w:val="00BF4D02"/>
    <w:rsid w:val="00C053C6"/>
    <w:rsid w:val="00CD2235"/>
    <w:rsid w:val="00D24220"/>
    <w:rsid w:val="00D35530"/>
    <w:rsid w:val="00D56198"/>
    <w:rsid w:val="00D6180E"/>
    <w:rsid w:val="00DC5DE3"/>
    <w:rsid w:val="00DE6FF8"/>
    <w:rsid w:val="00E27D0A"/>
    <w:rsid w:val="00E33825"/>
    <w:rsid w:val="00E5159C"/>
    <w:rsid w:val="00EC783C"/>
    <w:rsid w:val="00EE5453"/>
    <w:rsid w:val="00EE7856"/>
    <w:rsid w:val="00F726FE"/>
    <w:rsid w:val="00FC122C"/>
    <w:rsid w:val="00F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453"/>
  </w:style>
  <w:style w:type="paragraph" w:styleId="a5">
    <w:name w:val="footer"/>
    <w:basedOn w:val="a"/>
    <w:link w:val="a6"/>
    <w:uiPriority w:val="99"/>
    <w:unhideWhenUsed/>
    <w:rsid w:val="00EE5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453"/>
  </w:style>
  <w:style w:type="character" w:styleId="a7">
    <w:name w:val="Hyperlink"/>
    <w:basedOn w:val="a0"/>
    <w:uiPriority w:val="99"/>
    <w:unhideWhenUsed/>
    <w:rsid w:val="00C053C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3553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73B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453"/>
  </w:style>
  <w:style w:type="paragraph" w:styleId="a5">
    <w:name w:val="footer"/>
    <w:basedOn w:val="a"/>
    <w:link w:val="a6"/>
    <w:uiPriority w:val="99"/>
    <w:unhideWhenUsed/>
    <w:rsid w:val="00EE5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453"/>
  </w:style>
  <w:style w:type="character" w:styleId="a7">
    <w:name w:val="Hyperlink"/>
    <w:basedOn w:val="a0"/>
    <w:uiPriority w:val="99"/>
    <w:unhideWhenUsed/>
    <w:rsid w:val="00C053C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3553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73B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0000-0002-7775-6039" TargetMode="External"/><Relationship Id="rId18" Type="http://schemas.openxmlformats.org/officeDocument/2006/relationships/hyperlink" Target="https://doi.org/10.18524/2304-1447.2019.1(21).1659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.opryshko@kubg.edu.ua" TargetMode="External"/><Relationship Id="rId17" Type="http://schemas.openxmlformats.org/officeDocument/2006/relationships/hyperlink" Target="https://www.ifla.org/files/assets/hq/vouchers/voucher_R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.skladannyi@kubg.edu.u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9282-01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rtner.kubg.edu.ua/" TargetMode="External"/><Relationship Id="rId10" Type="http://schemas.openxmlformats.org/officeDocument/2006/relationships/hyperlink" Target="mailto:t.opryshko@kubg.edu.ua" TargetMode="External"/><Relationship Id="rId19" Type="http://schemas.openxmlformats.org/officeDocument/2006/relationships/hyperlink" Target="http://www.rda-jsc.org/archivedsite/rd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9282-0182" TargetMode="External"/><Relationship Id="rId14" Type="http://schemas.openxmlformats.org/officeDocument/2006/relationships/hyperlink" Target="mailto:p.skladannyi@kubg.edu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5D7A-8ABA-4F26-B59F-BF46D88D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6800</Words>
  <Characters>3877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God</cp:lastModifiedBy>
  <cp:revision>10</cp:revision>
  <dcterms:created xsi:type="dcterms:W3CDTF">2020-02-13T07:33:00Z</dcterms:created>
  <dcterms:modified xsi:type="dcterms:W3CDTF">2020-02-13T15:06:00Z</dcterms:modified>
</cp:coreProperties>
</file>